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CAE6" w14:textId="77777777" w:rsidR="005861EF" w:rsidRPr="00FA471D" w:rsidRDefault="005861EF" w:rsidP="005861EF">
      <w:pPr>
        <w:pStyle w:val="Nagwek1"/>
      </w:pPr>
      <w:r w:rsidRPr="005861EF">
        <w:t>Postępowanie nr: OA.041.2.8.8.2023.</w:t>
      </w:r>
      <w:r w:rsidRPr="00FA471D">
        <w:t>KB</w:t>
      </w:r>
    </w:p>
    <w:p w14:paraId="045EB0DA" w14:textId="563ACFC4" w:rsidR="005861EF" w:rsidRPr="005861EF" w:rsidRDefault="005861EF" w:rsidP="005861EF">
      <w:pPr>
        <w:pStyle w:val="Nagwek1"/>
      </w:pPr>
      <w:r w:rsidRPr="00FA471D">
        <w:t>Załącznik nr 2 do zapytania ofertowego</w:t>
      </w:r>
      <w:r w:rsidR="00693364" w:rsidRPr="00FA471D">
        <w:t xml:space="preserve"> – dot. zad. nr 3</w:t>
      </w:r>
    </w:p>
    <w:p w14:paraId="3FB33FC3" w14:textId="77777777" w:rsidR="005861EF" w:rsidRPr="005861EF" w:rsidRDefault="005861EF" w:rsidP="005861EF">
      <w:pPr>
        <w:pStyle w:val="Nagwek1"/>
      </w:pPr>
      <w:r w:rsidRPr="005861EF">
        <w:t>Przedmiot zamówienia: Stworzenie dostępnej strony www urzędu zgodnej ze standardem WCAG 2.1 wraz z migracją treści.</w:t>
      </w:r>
    </w:p>
    <w:p w14:paraId="643FE44E" w14:textId="4ADE7C8B" w:rsidR="00CB6CF9" w:rsidRPr="005861EF" w:rsidRDefault="00CB6CF9" w:rsidP="005861EF">
      <w:pPr>
        <w:pStyle w:val="Nagwek2"/>
      </w:pPr>
      <w:r w:rsidRPr="005861EF">
        <w:t>Stworzenie dostępnej strony www urzędu zgodnej ze standardem WCAG 2.1 wraz z migracją treści:</w:t>
      </w:r>
    </w:p>
    <w:p w14:paraId="044469A5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Przedmiotem zamówienia jest wykonanie strony internetowej na podstawie projektu graficzno-funkcjonalnego stworzonego przez Wykonawcę, w oparciu o CMS oraz przeniesienie treści z aktualnego serwisu WWW. </w:t>
      </w:r>
    </w:p>
    <w:p w14:paraId="4F959A5C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być oparty o oprogramowanie, którego wykorzystanie nie będzie wymagało odnowienia lub wnoszenia dodatkowych opłat przez Zamawiającego.</w:t>
      </w:r>
    </w:p>
    <w:p w14:paraId="394F96D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zaproponuje przynajmniej trzy layouty graficzne strony. </w:t>
      </w:r>
    </w:p>
    <w:p w14:paraId="3D5A5A4C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wykona transfer całości treści z aktualnego serwisu WWW do nowego - artykuły, galerie, załączniki, treści stałe.</w:t>
      </w:r>
    </w:p>
    <w:p w14:paraId="4E46E52F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Zamawiający nie będzie dostarczał kopii strony aktualnej ani kopii bazy danych. Całości transferowanej treści Wykonawca musi pozyskać bezpośrednio z zasobów strony aktualnej wg mechanizmu:</w:t>
      </w:r>
    </w:p>
    <w:p w14:paraId="10D3122C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 celu pozyskania całego zakresu treści, Wykonawca wykona pełną mapę podstron całego aktualnej serwisu WWW, następnie wyodrębni artykuły, galerie i treści stałe, np. "o nas", "kontakt" itp.</w:t>
      </w:r>
    </w:p>
    <w:p w14:paraId="0C6CCA26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Po ustaleniu zakresu podstron, Wykonawca oznaczy metadane transferowanych treści (tytuł artykułu, data publikacji, autor, treść artykułu, zdjęcia galerii itp.).</w:t>
      </w:r>
    </w:p>
    <w:p w14:paraId="4493D51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Podczas przenoszenia treści, Wykonawca zobowiązany jest do zwiększenia dostępności migrowanych treści m.in. poprzez:</w:t>
      </w:r>
    </w:p>
    <w:p w14:paraId="7661CF07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276" w:hanging="709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uzupełnienie informacji o załącznikach,</w:t>
      </w:r>
    </w:p>
    <w:p w14:paraId="2150484A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276" w:hanging="709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zapewnienie tekstu alternatywnego dla treści nietekstowych,</w:t>
      </w:r>
    </w:p>
    <w:p w14:paraId="1FF20565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276" w:hanging="709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uzupełnienie opisu odnośników kierujących na zewnątrz strony,</w:t>
      </w:r>
    </w:p>
    <w:p w14:paraId="22C5A43F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276" w:hanging="709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poprawę strony kodowej treści np. usunięcie zbędnych tabel,</w:t>
      </w:r>
    </w:p>
    <w:p w14:paraId="133AD357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276" w:hanging="709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usunięcie nadmiarowych styli (np. style z MS Word).</w:t>
      </w:r>
    </w:p>
    <w:p w14:paraId="52CA6AE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1276" w:hanging="709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musi zapewnić ciągłość przekierowań dla artykułów i treści przeniesionych na zasadzie 1:1 (bez rozdzielania treści strony źródłowej na kilka podstron docelowych), tzn. system musi zapamiętać stary adres url podstrony lub artykułu i powiązać z nową lokalizacją, dzięki czemu użytkownik końcowy klikając na stary link znaleziony w Internecie zostanie automatycznie przekierowany do tego samego zasobu, ale dostępnego pod nowym adresem.</w:t>
      </w:r>
    </w:p>
    <w:p w14:paraId="3A73DF88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wykona przedmiot zamówienia zgodnie ze wszystkimi wytycznymi WCAG 2.2 AA. </w:t>
      </w:r>
    </w:p>
    <w:p w14:paraId="0A53466B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Edytor treści musi zawierać możliwość tworzenia semantycznych elementów HTML, m.in. takich jak nagłówki czy listy wypunktowane. </w:t>
      </w:r>
    </w:p>
    <w:p w14:paraId="37C11A7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Warunkiem odbioru serwisu www i dokonania płatności jest spełnienie wymogów wskazanych w załączniku do Ustawy z dnia 4 kwietnia 2019 r. o dostępności cyfrowej stron internetowych i aplikacji mobilnych podmiotów publicznych. </w:t>
      </w:r>
    </w:p>
    <w:p w14:paraId="0621056D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Zamawiający zastrzega sobie prawo do zlecenia zewnętrznego audytu spełnienia wymagań WCAG 2.2 AA.</w:t>
      </w:r>
    </w:p>
    <w:p w14:paraId="3BD9D0EF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zapewni publiczny certyfikat dla domeny przez cały okres trwania projektu.</w:t>
      </w:r>
    </w:p>
    <w:p w14:paraId="2E312C5A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Wykonawca zapewni hosting przez cały okres trwania projektu.</w:t>
      </w:r>
    </w:p>
    <w:p w14:paraId="2F7F562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posiadać lub musi być zintegrowany z mechanizmem do automatycznego codziennego backupu bazy danych i zasobów repozytorium plików. </w:t>
      </w:r>
    </w:p>
    <w:p w14:paraId="43181D3C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Baza danych (np. MySQL) i środowisko uruchomieniowe (PHP/nginx) musi działać na swoich najnowszych stabilnych wersjach.</w:t>
      </w:r>
    </w:p>
    <w:p w14:paraId="0F265A3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Koszty wszystkich licencji płatnych, wymaganych do działania systemu ponosi Wykonawca przez cały okres trwania projektu.</w:t>
      </w:r>
    </w:p>
    <w:p w14:paraId="4D5EEA0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działać sprawnie w zakresie szybkości wyświetlania poszczególnych podstron.</w:t>
      </w:r>
    </w:p>
    <w:p w14:paraId="524AA5F4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integrować się z narzędziem do analizy ruchu w celu automatycznego pozyskiwania rzeczywistej liczby odwiedzin strony głównej, artykułów, podstron i galerii.</w:t>
      </w:r>
    </w:p>
    <w:p w14:paraId="14CD5AE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Liczba odwiedzin musi być aktualizowana przynajmniej raz na godzinę, panel administracyjny musi udostępnić podstawowe zbiorcze dane statystyczne np. liczba najczęściej odwiedzanych adresów z ostatnich 7 dni. Administrator musi mieć możliwość ustalenia zakresu czasowego raportu.</w:t>
      </w:r>
    </w:p>
    <w:p w14:paraId="25245064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zapewnić możliwość łatwego wydrukowania raportu z analizy ruchu.</w:t>
      </w:r>
    </w:p>
    <w:p w14:paraId="7D2CE05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udostępnić możliwość zarządzania użytkownikami zarządzającymi i redagującymi serwisem WWW, uprawnieniami i rolami tych użytkowników, co najmniej w zakresie administratora serwisu, autora (tworzącego treści) i redaktora (weryfikującego, akceptującego i publikującego treści).</w:t>
      </w:r>
    </w:p>
    <w:p w14:paraId="3DA69B6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udostępnić możliwość resetowania hasła przez użytkownika z dostępem do panelu administracyjnego przez mechanizm “zapomniałem hasła” czyli wysłanie maila z linkiem do resetu hasła na adres podany w formularzu.</w:t>
      </w:r>
    </w:p>
    <w:p w14:paraId="3BA3C02A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włączenie i wyłączenie:</w:t>
      </w:r>
    </w:p>
    <w:p w14:paraId="140FE2A1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wersji żałobnej - szary layout,</w:t>
      </w:r>
    </w:p>
    <w:p w14:paraId="4075E606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trybu maintenance - czyli komunikatu z czasową niedostępnością serwisu.</w:t>
      </w:r>
    </w:p>
    <w:p w14:paraId="06063C1D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posiadać mechanizm automatycznego i stałego monitorowania i natychmiastowego komunikowania mailowego Wykonawcę o wystąpieniu błędów krytycznych.</w:t>
      </w:r>
    </w:p>
    <w:p w14:paraId="383CE66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Wprowadzanie treści i określanie jej wyglądu nie wymaga od użytkownika znajomości języka HTML i innej wiedzy technicznej.</w:t>
      </w:r>
    </w:p>
    <w:p w14:paraId="135FA3EF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umożliwia formatowanie tekstu artykułów i treści stałych przynajmniej w zakresie zmiany kroju czcionki, jej rozmiaru, koloru i pogrubienia, wyrównania do prawej oraz lewej strony, wyśrodkowania i wyjustowania, paragrafów, wypunktowań itp.</w:t>
      </w:r>
    </w:p>
    <w:p w14:paraId="5720C93C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zapewnia wersjonowanie artykułów i treści stałych z możliwością przywrócenia wybranej wersji. </w:t>
      </w:r>
    </w:p>
    <w:p w14:paraId="1FD4F298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zapewnić możliwość zarządzania treściami w taki sposób, żeby ich wersje opublikowane były dostępne m.in poprzez umożliwienie wprowadzania treści alternatywnej dla treści nietekstowych w artykułach, treściach stałych i galeriach.</w:t>
      </w:r>
    </w:p>
    <w:p w14:paraId="476B64FE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Każdy artykuł musi być dostępny poprzez unikalny adres URL.</w:t>
      </w:r>
    </w:p>
    <w:p w14:paraId="7E0E51D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uniemożliwić wyświetlanie tego samego artykułu pod różnymi adresami URL.</w:t>
      </w:r>
    </w:p>
    <w:p w14:paraId="0665AE33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System musi zapewnić obsługę przyjaznych linków, które oprócz informowania użytkownika o zawartości strony, będą zawierały informacje o przypisaniu artykułu do grupy tematycznej, np. https://domenapodmiotu.pl/kultura/nazwa-wydarzenia.</w:t>
      </w:r>
    </w:p>
    <w:p w14:paraId="05D883F7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umożliwia opisanie artykułu za pomocą: </w:t>
      </w:r>
    </w:p>
    <w:p w14:paraId="5E4B5F5D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tytułu, leadu (wstępniak), zdjęcia, bloku tekstu ze śródtytułami,</w:t>
      </w:r>
    </w:p>
    <w:p w14:paraId="0C965B50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opcjonalnej daty początku i końca dostępności artykułu w widoku publicznym,</w:t>
      </w:r>
    </w:p>
    <w:p w14:paraId="7F39CE72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opcjonalnej daty początkowej i końcowej wydarzenia opisanego w artykule, z automatycznym oznaczenia daty w kalendarzu w widoku publicznym,</w:t>
      </w:r>
    </w:p>
    <w:p w14:paraId="67B1E911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opcjonalnej daty początku i końca “przypięcia” artykułu na szczycie listy artykułów w widoku publicznym niezależnie od daty publikacji,</w:t>
      </w:r>
    </w:p>
    <w:p w14:paraId="2F47228B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autora treści i daty wytworzenia,</w:t>
      </w:r>
    </w:p>
    <w:p w14:paraId="57050184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redaktora publikującego,</w:t>
      </w:r>
    </w:p>
    <w:p w14:paraId="761808AE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tagów i słów kluczowych wykorzystywanych w widoku publicznym, </w:t>
      </w:r>
    </w:p>
    <w:p w14:paraId="1311F25A" w14:textId="77777777" w:rsidR="00CB6CF9" w:rsidRPr="005861EF" w:rsidRDefault="00CB6CF9" w:rsidP="005861EF">
      <w:pPr>
        <w:numPr>
          <w:ilvl w:val="1"/>
          <w:numId w:val="32"/>
        </w:numPr>
        <w:tabs>
          <w:tab w:val="num" w:pos="1134"/>
        </w:tabs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powiązań z kategoriami artykułów z możliwością wskazania kategorii głównej (np. “kultura”), w ramach której wyświetla się artykuł w widoku publicznym oraz powiązań z innymi kategoriami artykułów (np. “aktualności”) w celu listowania linku do artykułu np. również w zakładce “Aktualności”.</w:t>
      </w:r>
    </w:p>
    <w:p w14:paraId="1C63E813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umożliwia umieszczenie w dowolnym miejscu w artykule galerii, załączników lub iframe z filmem np. z youtube.com.</w:t>
      </w:r>
    </w:p>
    <w:p w14:paraId="3FCADFEB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CMS, oprócz standardowego CRUD kategorii artykułów, umożliwia:</w:t>
      </w:r>
    </w:p>
    <w:p w14:paraId="64FD0AFE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listowanie wszystkich podstron na których umieszczona jest lista artykułów z danej kategorii,</w:t>
      </w:r>
    </w:p>
    <w:p w14:paraId="5A9B9D32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określenie maksymalnej liczby pozycji przy listowaniu artykułów w danej kategorii w widoku publicznym.</w:t>
      </w:r>
    </w:p>
    <w:p w14:paraId="1EEA68B9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Zasoby (pliki graficzne, dokumenty, archiwa) w repozytorium można umieszczać i organizować w katalogach i podkatalogach, podobnie jak na dysku w komputerze.</w:t>
      </w:r>
    </w:p>
    <w:p w14:paraId="21C047B7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Manager mediów pozwoli na podstawowe operacje na plikach - kasowanie, kopiowanie, zmiana nazwy, przenoszenie. W przypadku zmiany nazwy i przenoszenia zasobów opublikowanych, CMS automatycznie aktualizuje ścieżkę do zasobu we wszystkich wpisach w treściach opublikowanych (m.in. artykuły, treści stałe, lista plików do pobrania).</w:t>
      </w:r>
    </w:p>
    <w:p w14:paraId="688C0E65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mediów, oprócz zarządzania plikami lokalnymi, musi umożliwić również zarządzanie zasobami zlokalizowanymi na zdalnym serwerze i odpowiednio tworzyć linki do publikowanych zasobów.</w:t>
      </w:r>
    </w:p>
    <w:p w14:paraId="60112D8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mediów umożliwia podstawową obróbkę plików graficznych - zmiana wielkości, kadrowanie i obracanie.</w:t>
      </w:r>
    </w:p>
    <w:p w14:paraId="0E0B8E8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mediów automatycznie tworzy wersję webp plików graficznych.</w:t>
      </w:r>
    </w:p>
    <w:p w14:paraId="6C676A4B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Manager w szczegółach każdego zasobu prezentuje: </w:t>
      </w:r>
    </w:p>
    <w:p w14:paraId="5665A140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wszystkie lokalizacje danego zasobu w treściach opublikowanych,</w:t>
      </w:r>
    </w:p>
    <w:p w14:paraId="13E80492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liczbę pobrań w przypadku dla dokumentów,</w:t>
      </w:r>
    </w:p>
    <w:p w14:paraId="4704133B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rozmiar w kB lub MB,</w:t>
      </w:r>
    </w:p>
    <w:p w14:paraId="02628F23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 przypadku grafik - rozmiar i ścieżka do wersji webp.</w:t>
      </w:r>
    </w:p>
    <w:p w14:paraId="1A19D6E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Zasoby z repozytorium można umieszczać w artykułach, treściach stałych lub jako listy załączników do pobrania.</w:t>
      </w:r>
    </w:p>
    <w:p w14:paraId="6C55532C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Repozytorium jest zintegrowane z edytorem WYSIWYG w taki sposób, że po wybraniu pliku jest on odpowiednio umieszczany w treści - osadzona grafika lub podlinkowany dokument.</w:t>
      </w:r>
    </w:p>
    <w:p w14:paraId="2064C33C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W przypadku plików do pobrania automatycznie dodawane jest rozszerzenie oraz wielkość w kB lub MB.</w:t>
      </w:r>
    </w:p>
    <w:p w14:paraId="54A29F33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Przy dodawaniu zdjęć do galerii CMS automatycznie przygotowuje dwie dodatkowe wersje każdego zdjęcia - miniaturę oraz wersję do podglądu.</w:t>
      </w:r>
    </w:p>
    <w:p w14:paraId="7DC24F8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Redaktor ma możliwość definiowania rozmiaru miniatury i wersji zdjęcia do podglądu.</w:t>
      </w:r>
    </w:p>
    <w:p w14:paraId="2271CC6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zachowuje wersję oryginalną zdjęcia w celu późniejszej zmiany wielkości zdjęć do poglądu. Wersje oryginalne zdjęć mogą być przechowywane z ograniczeniem czasowym np. zdjęcia dodane w ciągu ostatnich 30 dni. Parametr definiowany jest przez Administratora. </w:t>
      </w:r>
    </w:p>
    <w:p w14:paraId="02BA7318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CMS musi umożliwić Redaktorowi prostą zmianę kolejności zdjęć w galerii.</w:t>
      </w:r>
    </w:p>
    <w:p w14:paraId="45DE08A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grupowanie galerii i wyświetlanie w widoku publicznym jako lista galerii podobnie jak artykuły.</w:t>
      </w:r>
    </w:p>
    <w:p w14:paraId="71FDE912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publikację galerii oddzielnie w widoku publicznym lub jako część artykułu.</w:t>
      </w:r>
    </w:p>
    <w:p w14:paraId="34E34D8D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w module galerii musi informować Redaktora na jakich podstronach galeria jest umieszczona lub do którego artykułu jest podłączona.</w:t>
      </w:r>
    </w:p>
    <w:p w14:paraId="0F22F75D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Każda strona musi się opierać o zdefiniowany szablon.</w:t>
      </w:r>
    </w:p>
    <w:p w14:paraId="4B7855CB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samodzielną rozbudowę serwisu przez Zamawiającego poprzez zarządzanie stronami m.in. w zakresie:</w:t>
      </w:r>
    </w:p>
    <w:p w14:paraId="628030A0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 xml:space="preserve">zmiany lokalizacji poszczególnych stron względem siebie w strukturze drzewiastej poprzez dowolne zagnieżdżanie. Poziom zagnieżdżania stron musi mieć odzwierciedlenie w linkach np. link </w:t>
      </w:r>
      <w:hyperlink r:id="rId11" w:history="1">
        <w:r w:rsidRPr="005861EF">
          <w:rPr>
            <w:rFonts w:ascii="Arial" w:hAnsi="Arial" w:cs="Arial"/>
          </w:rPr>
          <w:t>https://domena.pl/kultura/wydarzenia/kalendarz.html</w:t>
        </w:r>
      </w:hyperlink>
      <w:r w:rsidRPr="005861EF">
        <w:rPr>
          <w:rFonts w:ascii="Arial" w:hAnsi="Arial" w:cs="Arial"/>
        </w:rPr>
        <w:t xml:space="preserve"> oznacza, że strona Kalendarz jest umieszczona “pod” stroną wydarzenia, a wydarzenia “pod” stroną “kultura”,</w:t>
      </w:r>
    </w:p>
    <w:p w14:paraId="6AD648D5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tworzenia nowej strony na podstawie istniejącej czyli opcja “kopiuj stronę”,</w:t>
      </w:r>
    </w:p>
    <w:p w14:paraId="39B503FF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przypisanie dedykowanych opisów meta-title, meta-description oraz keywords,</w:t>
      </w:r>
    </w:p>
    <w:p w14:paraId="706727C6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ukrywanie wybranej podstrony w automatycznie generowanej mapie strony,</w:t>
      </w:r>
    </w:p>
    <w:p w14:paraId="406DC47A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przypisywanie dedykowanych grafik dla wybranej podstrony do wyświetlenia jako tło całości strony, jako tło nagłówka, treści strony lub jako tła stopki.</w:t>
      </w:r>
    </w:p>
    <w:p w14:paraId="4E174560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w szczegółach strony wyświetla menu, które posiadają link np. do podstrony “kalendarz” w menu głównym lub menu w stopce. </w:t>
      </w:r>
    </w:p>
    <w:p w14:paraId="6DCD5188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obsługę newslettera w zakresie:</w:t>
      </w:r>
    </w:p>
    <w:p w14:paraId="78BDD08E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możliwości zbierania subskrybentów poprzez udostępniony w widoku publicznym mechanizm zgłaszania i potwierdzania prawdziwości za pomocą dedykowanego i unikalnego linku,</w:t>
      </w:r>
    </w:p>
    <w:p w14:paraId="24F6C50F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wysłanie dowolnej liczby wiadomości mailowych w ramach newslettera,</w:t>
      </w:r>
    </w:p>
    <w:p w14:paraId="29F29276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lastRenderedPageBreak/>
        <w:t>w każdym wysyłanym mailu musi być zawarty dedykowany dla każdego subskrybenta link umożliwiający rezygnację z newslettera,</w:t>
      </w:r>
    </w:p>
    <w:p w14:paraId="59E993AE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993" w:hanging="426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musi umożliwić łatwe stworzenie treści newslettera na podstawie wybranej kategorii artykułów lub/i na podstawie dat granicznych publikacji artykułów.</w:t>
      </w:r>
    </w:p>
    <w:p w14:paraId="70D359BE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umożliwić wyświetlanie informacji o:</w:t>
      </w:r>
    </w:p>
    <w:p w14:paraId="7726BE90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autorze treści, </w:t>
      </w:r>
    </w:p>
    <w:p w14:paraId="246993EC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dacie wytworzenia treści, </w:t>
      </w:r>
    </w:p>
    <w:p w14:paraId="015C9716" w14:textId="77777777" w:rsidR="00CB6CF9" w:rsidRPr="005861EF" w:rsidRDefault="00CB6CF9" w:rsidP="005861EF">
      <w:pPr>
        <w:numPr>
          <w:ilvl w:val="1"/>
          <w:numId w:val="32"/>
        </w:numPr>
        <w:spacing w:before="240" w:after="240" w:line="276" w:lineRule="auto"/>
        <w:ind w:left="1134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osobie i dacie publikacji treści.</w:t>
      </w:r>
    </w:p>
    <w:p w14:paraId="581CCC01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posiadać funkcjonalność wyszukiwania informacji w opublikowanych artykułach.</w:t>
      </w:r>
    </w:p>
    <w:p w14:paraId="63CB383A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zapewnić możliwość wyszukiwania pełnotekstowego, czyli możliwość przeszukiwania również treści opublikowanych załączników, przynajmniej w zakresie plików doc, docx, rtf, odt, pdf.</w:t>
      </w:r>
    </w:p>
    <w:p w14:paraId="0638E3AA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automatycznie generuje mapę strony bez konieczności ręcznej jej aktualizacji.</w:t>
      </w:r>
    </w:p>
    <w:p w14:paraId="4F829506" w14:textId="77777777" w:rsidR="00CB6CF9" w:rsidRPr="005861EF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System musi umożliwić automatyczne publikowanie pliku typu sitemap.xml na cele SEO.</w:t>
      </w:r>
    </w:p>
    <w:p w14:paraId="5F9BDDB8" w14:textId="6DB52BC6" w:rsidR="00CB6CF9" w:rsidRDefault="00CB6CF9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 w:rsidRPr="005861EF">
        <w:rPr>
          <w:rFonts w:ascii="Arial" w:hAnsi="Arial" w:cs="Arial"/>
        </w:rPr>
        <w:t>CMS w ustawieniach domeny daje możliwość wybrania zakresu zawartości sitemap.xml - strony/podstrony, artykuły, galerie.</w:t>
      </w:r>
    </w:p>
    <w:p w14:paraId="5A5D40F1" w14:textId="08948B1D" w:rsidR="005861EF" w:rsidRPr="005861EF" w:rsidRDefault="005861EF" w:rsidP="005861EF">
      <w:pPr>
        <w:numPr>
          <w:ilvl w:val="0"/>
          <w:numId w:val="32"/>
        </w:num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Gwarancja 12 miesięcy.</w:t>
      </w:r>
    </w:p>
    <w:p w14:paraId="1519CB04" w14:textId="77777777" w:rsidR="00773B88" w:rsidRPr="005861EF" w:rsidRDefault="00773B88" w:rsidP="005861EF">
      <w:pPr>
        <w:spacing w:before="240" w:after="240" w:line="276" w:lineRule="auto"/>
        <w:ind w:left="567" w:hanging="567"/>
        <w:textAlignment w:val="baseline"/>
        <w:rPr>
          <w:rFonts w:ascii="Arial" w:hAnsi="Arial" w:cs="Arial"/>
        </w:rPr>
      </w:pPr>
    </w:p>
    <w:sectPr w:rsidR="00773B88" w:rsidRPr="005861EF" w:rsidSect="000F4C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B9B3" w14:textId="77777777" w:rsidR="00B75778" w:rsidRDefault="00B75778">
      <w:r>
        <w:separator/>
      </w:r>
    </w:p>
  </w:endnote>
  <w:endnote w:type="continuationSeparator" w:id="0">
    <w:p w14:paraId="44B32FD5" w14:textId="77777777" w:rsidR="00B75778" w:rsidRDefault="00B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8558" w14:textId="4E066406" w:rsidR="00CB6CF9" w:rsidRDefault="00CB6CF9">
    <w:pPr>
      <w:pStyle w:val="Stopka"/>
    </w:pPr>
    <w:r>
      <w:rPr>
        <w:noProof/>
      </w:rPr>
      <w:drawing>
        <wp:inline distT="0" distB="0" distL="0" distR="0" wp14:anchorId="6638191D" wp14:editId="11284CB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03AFCC99" w:rsidR="0079581E" w:rsidRPr="009A1E32" w:rsidRDefault="00CB6CF9" w:rsidP="009A1E32">
    <w:pPr>
      <w:tabs>
        <w:tab w:val="center" w:pos="4536"/>
        <w:tab w:val="right" w:pos="9072"/>
      </w:tabs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w:drawing>
        <wp:inline distT="0" distB="0" distL="0" distR="0" wp14:anchorId="484A8B1F" wp14:editId="6EC7F149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2056" w14:textId="77777777" w:rsidR="00B75778" w:rsidRDefault="00B75778">
      <w:r>
        <w:rPr>
          <w:color w:val="000000"/>
        </w:rPr>
        <w:separator/>
      </w:r>
    </w:p>
  </w:footnote>
  <w:footnote w:type="continuationSeparator" w:id="0">
    <w:p w14:paraId="0D785AE0" w14:textId="77777777" w:rsidR="00B75778" w:rsidRDefault="00B7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5B23" w14:textId="1267F849" w:rsidR="00CB6CF9" w:rsidRDefault="00CB6CF9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0B402B24" wp14:editId="37C3C425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CB15B" w14:textId="79EE2770" w:rsidR="00CB6CF9" w:rsidRPr="00CB6CF9" w:rsidRDefault="00CB6CF9" w:rsidP="00CB6CF9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22"/>
    <w:multiLevelType w:val="hybridMultilevel"/>
    <w:tmpl w:val="E5E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F4679"/>
    <w:multiLevelType w:val="multilevel"/>
    <w:tmpl w:val="AB58B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  <w:lvl w:ilvl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entative="1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14" w15:restartNumberingAfterBreak="0">
    <w:nsid w:val="4132652B"/>
    <w:multiLevelType w:val="multilevel"/>
    <w:tmpl w:val="BC84A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F7E74"/>
    <w:multiLevelType w:val="multilevel"/>
    <w:tmpl w:val="E1B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961D9"/>
    <w:multiLevelType w:val="multilevel"/>
    <w:tmpl w:val="048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402DB"/>
    <w:multiLevelType w:val="hybridMultilevel"/>
    <w:tmpl w:val="5C24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E1005"/>
    <w:multiLevelType w:val="multilevel"/>
    <w:tmpl w:val="631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A7A4E"/>
    <w:multiLevelType w:val="multilevel"/>
    <w:tmpl w:val="A1B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083341">
    <w:abstractNumId w:val="8"/>
  </w:num>
  <w:num w:numId="2" w16cid:durableId="1543205950">
    <w:abstractNumId w:val="5"/>
  </w:num>
  <w:num w:numId="3" w16cid:durableId="1071150402">
    <w:abstractNumId w:val="24"/>
  </w:num>
  <w:num w:numId="4" w16cid:durableId="241767117">
    <w:abstractNumId w:val="22"/>
  </w:num>
  <w:num w:numId="5" w16cid:durableId="1639873950">
    <w:abstractNumId w:val="3"/>
  </w:num>
  <w:num w:numId="6" w16cid:durableId="1192105370">
    <w:abstractNumId w:val="26"/>
  </w:num>
  <w:num w:numId="7" w16cid:durableId="1787650951">
    <w:abstractNumId w:val="12"/>
  </w:num>
  <w:num w:numId="8" w16cid:durableId="304816749">
    <w:abstractNumId w:val="2"/>
  </w:num>
  <w:num w:numId="9" w16cid:durableId="168758434">
    <w:abstractNumId w:val="10"/>
  </w:num>
  <w:num w:numId="10" w16cid:durableId="1120883742">
    <w:abstractNumId w:val="15"/>
  </w:num>
  <w:num w:numId="11" w16cid:durableId="1828788010">
    <w:abstractNumId w:val="30"/>
  </w:num>
  <w:num w:numId="12" w16cid:durableId="477262996">
    <w:abstractNumId w:val="29"/>
  </w:num>
  <w:num w:numId="13" w16cid:durableId="620188889">
    <w:abstractNumId w:val="23"/>
  </w:num>
  <w:num w:numId="14" w16cid:durableId="1437406675">
    <w:abstractNumId w:val="17"/>
  </w:num>
  <w:num w:numId="15" w16cid:durableId="1449936571">
    <w:abstractNumId w:val="21"/>
  </w:num>
  <w:num w:numId="16" w16cid:durableId="1925802691">
    <w:abstractNumId w:val="28"/>
  </w:num>
  <w:num w:numId="17" w16cid:durableId="699475750">
    <w:abstractNumId w:val="31"/>
  </w:num>
  <w:num w:numId="18" w16cid:durableId="1392272315">
    <w:abstractNumId w:val="20"/>
  </w:num>
  <w:num w:numId="19" w16cid:durableId="1125276101">
    <w:abstractNumId w:val="4"/>
  </w:num>
  <w:num w:numId="20" w16cid:durableId="534347309">
    <w:abstractNumId w:val="9"/>
  </w:num>
  <w:num w:numId="21" w16cid:durableId="1874417369">
    <w:abstractNumId w:val="1"/>
  </w:num>
  <w:num w:numId="22" w16cid:durableId="972102353">
    <w:abstractNumId w:val="7"/>
  </w:num>
  <w:num w:numId="23" w16cid:durableId="706754340">
    <w:abstractNumId w:val="6"/>
  </w:num>
  <w:num w:numId="24" w16cid:durableId="1472014795">
    <w:abstractNumId w:val="19"/>
  </w:num>
  <w:num w:numId="25" w16cid:durableId="1243955801">
    <w:abstractNumId w:val="0"/>
  </w:num>
  <w:num w:numId="26" w16cid:durableId="1670520385">
    <w:abstractNumId w:val="18"/>
  </w:num>
  <w:num w:numId="27" w16cid:durableId="332034955">
    <w:abstractNumId w:val="25"/>
  </w:num>
  <w:num w:numId="28" w16cid:durableId="769667961">
    <w:abstractNumId w:val="27"/>
  </w:num>
  <w:num w:numId="29" w16cid:durableId="1284309679">
    <w:abstractNumId w:val="14"/>
  </w:num>
  <w:num w:numId="30" w16cid:durableId="477648720">
    <w:abstractNumId w:val="16"/>
  </w:num>
  <w:num w:numId="31" w16cid:durableId="726269980">
    <w:abstractNumId w:val="11"/>
    <w:lvlOverride w:ilvl="0">
      <w:lvl w:ilvl="0">
        <w:numFmt w:val="decimal"/>
        <w:lvlText w:val="%1."/>
        <w:lvlJc w:val="left"/>
      </w:lvl>
    </w:lvlOverride>
  </w:num>
  <w:num w:numId="32" w16cid:durableId="4775746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2C04"/>
    <w:rsid w:val="000477B4"/>
    <w:rsid w:val="00050604"/>
    <w:rsid w:val="00050797"/>
    <w:rsid w:val="00053CA8"/>
    <w:rsid w:val="00077316"/>
    <w:rsid w:val="00091E7E"/>
    <w:rsid w:val="00092842"/>
    <w:rsid w:val="000A290D"/>
    <w:rsid w:val="000A34FB"/>
    <w:rsid w:val="000B09F4"/>
    <w:rsid w:val="000E4E28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03B45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729F0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06CC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2DA4"/>
    <w:rsid w:val="00546DEE"/>
    <w:rsid w:val="00567974"/>
    <w:rsid w:val="005861EF"/>
    <w:rsid w:val="005B4445"/>
    <w:rsid w:val="005E09D8"/>
    <w:rsid w:val="0062731B"/>
    <w:rsid w:val="00633FB3"/>
    <w:rsid w:val="00644574"/>
    <w:rsid w:val="00645141"/>
    <w:rsid w:val="00645BEE"/>
    <w:rsid w:val="006771E9"/>
    <w:rsid w:val="00693364"/>
    <w:rsid w:val="006A310D"/>
    <w:rsid w:val="006B3880"/>
    <w:rsid w:val="006E60D7"/>
    <w:rsid w:val="006E6136"/>
    <w:rsid w:val="006F3289"/>
    <w:rsid w:val="0070142F"/>
    <w:rsid w:val="00760BE9"/>
    <w:rsid w:val="00760C88"/>
    <w:rsid w:val="00773B88"/>
    <w:rsid w:val="0079581E"/>
    <w:rsid w:val="007C0BE1"/>
    <w:rsid w:val="007C7ECE"/>
    <w:rsid w:val="007D1C8E"/>
    <w:rsid w:val="007E008B"/>
    <w:rsid w:val="007E2C1D"/>
    <w:rsid w:val="007E3988"/>
    <w:rsid w:val="0080017E"/>
    <w:rsid w:val="0080060F"/>
    <w:rsid w:val="008202B0"/>
    <w:rsid w:val="008228BF"/>
    <w:rsid w:val="00825AE5"/>
    <w:rsid w:val="00850167"/>
    <w:rsid w:val="008570FF"/>
    <w:rsid w:val="00866193"/>
    <w:rsid w:val="00874FD7"/>
    <w:rsid w:val="008751D8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2A03"/>
    <w:rsid w:val="009A1E32"/>
    <w:rsid w:val="009A2FE8"/>
    <w:rsid w:val="009B60BC"/>
    <w:rsid w:val="009C638C"/>
    <w:rsid w:val="009D0ED7"/>
    <w:rsid w:val="009E3A01"/>
    <w:rsid w:val="00A05401"/>
    <w:rsid w:val="00A23326"/>
    <w:rsid w:val="00A24328"/>
    <w:rsid w:val="00A37C35"/>
    <w:rsid w:val="00A45B62"/>
    <w:rsid w:val="00A743A3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75778"/>
    <w:rsid w:val="00B868F5"/>
    <w:rsid w:val="00B90A5A"/>
    <w:rsid w:val="00B9245C"/>
    <w:rsid w:val="00BD2BDD"/>
    <w:rsid w:val="00BE0D3D"/>
    <w:rsid w:val="00C24796"/>
    <w:rsid w:val="00C2636C"/>
    <w:rsid w:val="00C72B8F"/>
    <w:rsid w:val="00C778D0"/>
    <w:rsid w:val="00C86982"/>
    <w:rsid w:val="00CB6CF9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42CD"/>
    <w:rsid w:val="00DF0878"/>
    <w:rsid w:val="00E01178"/>
    <w:rsid w:val="00E060A9"/>
    <w:rsid w:val="00E1572B"/>
    <w:rsid w:val="00E302A6"/>
    <w:rsid w:val="00E441DC"/>
    <w:rsid w:val="00E70F1A"/>
    <w:rsid w:val="00E85C93"/>
    <w:rsid w:val="00EA4821"/>
    <w:rsid w:val="00EA5BC9"/>
    <w:rsid w:val="00EA6905"/>
    <w:rsid w:val="00EC5246"/>
    <w:rsid w:val="00ED1349"/>
    <w:rsid w:val="00EE2184"/>
    <w:rsid w:val="00F015F4"/>
    <w:rsid w:val="00F10B2A"/>
    <w:rsid w:val="00F21BFA"/>
    <w:rsid w:val="00F223FC"/>
    <w:rsid w:val="00F24594"/>
    <w:rsid w:val="00F252CA"/>
    <w:rsid w:val="00F314FA"/>
    <w:rsid w:val="00F43CA8"/>
    <w:rsid w:val="00F60BE6"/>
    <w:rsid w:val="00F62574"/>
    <w:rsid w:val="00F76EF6"/>
    <w:rsid w:val="00FA1C80"/>
    <w:rsid w:val="00FA471D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1EF"/>
    <w:pPr>
      <w:spacing w:before="240" w:after="240" w:line="480" w:lineRule="auto"/>
      <w:contextualSpacing/>
      <w:outlineLvl w:val="0"/>
    </w:pPr>
    <w:rPr>
      <w:rFonts w:ascii="Arial" w:hAnsi="Arial"/>
      <w:b/>
      <w:bCs/>
      <w:color w:val="53565A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1EF"/>
    <w:pPr>
      <w:spacing w:before="240" w:after="240" w:line="276" w:lineRule="auto"/>
      <w:outlineLvl w:val="1"/>
    </w:pPr>
    <w:rPr>
      <w:rFonts w:ascii="Arial" w:hAnsi="Arial"/>
      <w:bCs/>
      <w:color w:val="53565A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5861EF"/>
    <w:rPr>
      <w:rFonts w:ascii="Arial" w:hAnsi="Arial"/>
      <w:b/>
      <w:bCs/>
      <w:color w:val="53565A"/>
      <w:sz w:val="24"/>
      <w:szCs w:val="30"/>
    </w:rPr>
  </w:style>
  <w:style w:type="character" w:customStyle="1" w:styleId="Nagwek2Znak">
    <w:name w:val="Nagłówek 2 Znak"/>
    <w:link w:val="Nagwek2"/>
    <w:uiPriority w:val="9"/>
    <w:rsid w:val="005861EF"/>
    <w:rPr>
      <w:rFonts w:ascii="Arial" w:hAnsi="Arial"/>
      <w:bCs/>
      <w:color w:val="53565A"/>
      <w:sz w:val="24"/>
      <w:szCs w:val="26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mena.pl/kultura/wydarzenia/kalendar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1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7</cp:revision>
  <cp:lastPrinted>2022-02-09T13:36:00Z</cp:lastPrinted>
  <dcterms:created xsi:type="dcterms:W3CDTF">2023-02-28T11:18:00Z</dcterms:created>
  <dcterms:modified xsi:type="dcterms:W3CDTF">2023-03-10T06:25:00Z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